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6B" w:rsidRDefault="00022C6B" w:rsidP="00022C6B">
      <w:pPr>
        <w:jc w:val="right"/>
        <w:rPr>
          <w:rFonts w:eastAsia="MS Mincho"/>
          <w:lang w:eastAsia="ja-JP"/>
        </w:rPr>
      </w:pPr>
      <w:r>
        <w:rPr>
          <w:rFonts w:eastAsia="MS Mincho"/>
          <w:lang w:eastAsia="ja-JP"/>
        </w:rPr>
        <w:t>Приложение В</w:t>
      </w:r>
    </w:p>
    <w:p w:rsidR="00022C6B" w:rsidRDefault="00022C6B" w:rsidP="00022C6B">
      <w:pPr>
        <w:jc w:val="right"/>
        <w:rPr>
          <w:rFonts w:eastAsia="MS Mincho"/>
          <w:lang w:eastAsia="ja-JP"/>
        </w:rPr>
      </w:pPr>
    </w:p>
    <w:p w:rsidR="00022C6B" w:rsidRPr="00470DEF" w:rsidRDefault="00022C6B" w:rsidP="00022C6B">
      <w:pPr>
        <w:jc w:val="right"/>
        <w:rPr>
          <w:rFonts w:eastAsia="MS Mincho"/>
          <w:lang w:eastAsia="ja-JP"/>
        </w:rPr>
      </w:pPr>
      <w:r w:rsidRPr="00470DEF">
        <w:rPr>
          <w:rFonts w:eastAsia="MS Mincho"/>
          <w:lang w:eastAsia="ja-JP"/>
        </w:rPr>
        <w:t>к Договору № ____ от «____» ________ 20 ____ г.</w:t>
      </w:r>
    </w:p>
    <w:p w:rsidR="00022C6B" w:rsidRPr="00470DEF" w:rsidRDefault="00022C6B" w:rsidP="00022C6B">
      <w:pPr>
        <w:jc w:val="center"/>
        <w:rPr>
          <w:rFonts w:eastAsia="MS Mincho"/>
          <w:lang w:eastAsia="ja-JP"/>
        </w:rPr>
      </w:pPr>
    </w:p>
    <w:p w:rsidR="00022C6B" w:rsidRPr="00470DEF" w:rsidRDefault="00022C6B" w:rsidP="00022C6B">
      <w:pPr>
        <w:jc w:val="center"/>
        <w:rPr>
          <w:rFonts w:eastAsia="MS Mincho"/>
          <w:lang w:eastAsia="ja-JP"/>
        </w:rPr>
      </w:pPr>
    </w:p>
    <w:p w:rsidR="00022C6B" w:rsidRPr="00470DEF" w:rsidRDefault="00022C6B" w:rsidP="00022C6B">
      <w:pPr>
        <w:jc w:val="center"/>
        <w:rPr>
          <w:rFonts w:eastAsia="MS Mincho"/>
          <w:lang w:eastAsia="ja-JP"/>
        </w:rPr>
      </w:pPr>
      <w:r w:rsidRPr="00470DEF">
        <w:rPr>
          <w:rFonts w:eastAsia="MS Mincho"/>
          <w:lang w:eastAsia="ja-JP"/>
        </w:rPr>
        <w:t>ТЕХНИЧЕСКИЕ ТРЕБОВАНИЯ</w:t>
      </w:r>
    </w:p>
    <w:p w:rsidR="00022C6B" w:rsidRPr="00470DEF" w:rsidRDefault="00022C6B" w:rsidP="00022C6B">
      <w:pPr>
        <w:jc w:val="center"/>
        <w:rPr>
          <w:rFonts w:eastAsia="MS Mincho"/>
          <w:lang w:eastAsia="ja-JP"/>
        </w:rPr>
      </w:pP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0" w:name="_Toc473620133"/>
      <w:r w:rsidRPr="00636346">
        <w:t>ЦЕЛЬ ПРИОБРЕТЕНИЯ ОБОРУДОВАНИЯ</w:t>
      </w:r>
      <w:bookmarkEnd w:id="0"/>
    </w:p>
    <w:p w:rsidR="00022C6B" w:rsidRDefault="00022C6B" w:rsidP="00022C6B">
      <w:pPr>
        <w:jc w:val="both"/>
      </w:pPr>
      <w:r>
        <w:t>Аналоговый телевизионный модулятор предназначен для использования его в следующих целях:</w:t>
      </w:r>
    </w:p>
    <w:p w:rsidR="00022C6B" w:rsidRPr="0061069D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61069D">
        <w:t xml:space="preserve">Построение </w:t>
      </w:r>
      <w:r>
        <w:t>головных станций</w:t>
      </w:r>
      <w:r w:rsidRPr="0061069D">
        <w:t xml:space="preserve"> кабельного телевидения (КТВ).</w:t>
      </w:r>
    </w:p>
    <w:p w:rsidR="00022C6B" w:rsidRPr="0061069D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 xml:space="preserve">Формирование </w:t>
      </w:r>
      <w:r>
        <w:rPr>
          <w:lang w:val="en-US"/>
        </w:rPr>
        <w:t>PAL</w:t>
      </w:r>
      <w:r w:rsidRPr="00E768AF">
        <w:t>/</w:t>
      </w:r>
      <w:r>
        <w:rPr>
          <w:lang w:val="en-US"/>
        </w:rPr>
        <w:t>SECAM</w:t>
      </w:r>
      <w:r>
        <w:t>-модулированных каналов для вещания в сети аналогового КТВ</w:t>
      </w:r>
      <w:r w:rsidRPr="0061069D">
        <w:t>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" w:name="_Toc473620134"/>
      <w:r w:rsidRPr="00636346">
        <w:t>ОБЩИЕ ТРЕБОВАНИЯ К ОБОРУДОВАНИЮ</w:t>
      </w:r>
      <w:bookmarkEnd w:id="1"/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Количество каналов на выходе</w:t>
      </w:r>
      <w:r w:rsidRPr="007F0B78">
        <w:t>: не менее 20 независимых каналов</w:t>
      </w:r>
      <w:r>
        <w:t>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Единый </w:t>
      </w:r>
      <w:r>
        <w:rPr>
          <w:lang w:val="en-US"/>
        </w:rPr>
        <w:t>RF</w:t>
      </w:r>
      <w:r w:rsidRPr="000A63D9">
        <w:t>-</w:t>
      </w:r>
      <w:r>
        <w:t>выход для всех каналов устройства;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Возможность независимой </w:t>
      </w:r>
      <w:proofErr w:type="spellStart"/>
      <w:r>
        <w:t>поканальной</w:t>
      </w:r>
      <w:proofErr w:type="spellEnd"/>
      <w:r>
        <w:t xml:space="preserve"> настройки частоты и уровней;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Тип модуляции: </w:t>
      </w:r>
      <w:r>
        <w:rPr>
          <w:lang w:val="en-US"/>
        </w:rPr>
        <w:t>PAL/SECAM</w:t>
      </w:r>
      <w:r>
        <w:t>;</w:t>
      </w:r>
    </w:p>
    <w:p w:rsidR="00022C6B" w:rsidRPr="00722F41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Уровень выходного сигнала: не менее 90 </w:t>
      </w:r>
      <w:proofErr w:type="spellStart"/>
      <w:r>
        <w:t>дБмкВт</w:t>
      </w:r>
      <w:proofErr w:type="spellEnd"/>
    </w:p>
    <w:p w:rsidR="00022C6B" w:rsidRPr="00722F41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  <w:rPr>
          <w:lang w:val="en-US"/>
        </w:rPr>
      </w:pPr>
      <w:r>
        <w:t xml:space="preserve"> </w:t>
      </w:r>
      <w:r w:rsidRPr="00722F41">
        <w:t>Частота выходного сигнала: 47-862 МГц</w:t>
      </w:r>
      <w:r>
        <w:t>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Отношение сигнал-шум на выходе: не менее 53 дБ;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Напряжение питания: 150…240 </w:t>
      </w:r>
      <w:proofErr w:type="gramStart"/>
      <w:r>
        <w:t>В</w:t>
      </w:r>
      <w:proofErr w:type="gramEnd"/>
      <w:r>
        <w:t xml:space="preserve"> переменного тока;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 Тип входного </w:t>
      </w:r>
      <w:r>
        <w:rPr>
          <w:lang w:val="en-US"/>
        </w:rPr>
        <w:t>IP</w:t>
      </w:r>
      <w:r w:rsidRPr="000A63D9">
        <w:t>-</w:t>
      </w:r>
      <w:r>
        <w:t xml:space="preserve">потока: </w:t>
      </w:r>
      <w:r>
        <w:rPr>
          <w:lang w:val="en-US"/>
        </w:rPr>
        <w:t>MPTS</w:t>
      </w:r>
      <w:r>
        <w:t xml:space="preserve"> и </w:t>
      </w:r>
      <w:r>
        <w:rPr>
          <w:lang w:val="en-US"/>
        </w:rPr>
        <w:t>SPTS</w:t>
      </w:r>
      <w:r>
        <w:t>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Режим передачи: </w:t>
      </w:r>
      <w:r>
        <w:rPr>
          <w:lang w:val="en-US"/>
        </w:rPr>
        <w:t>Multicast</w:t>
      </w:r>
      <w:r w:rsidRPr="000A63D9">
        <w:t xml:space="preserve"> </w:t>
      </w:r>
      <w:r>
        <w:t xml:space="preserve">и </w:t>
      </w:r>
      <w:r>
        <w:rPr>
          <w:lang w:val="en-US"/>
        </w:rPr>
        <w:t>Unicast</w:t>
      </w:r>
      <w:r>
        <w:t>;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Возможность визуального контроля выходных каналов без использования дополнительного оборудования.</w:t>
      </w:r>
    </w:p>
    <w:p w:rsidR="00022C6B" w:rsidRPr="00334637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334637">
        <w:t xml:space="preserve">Оборудование </w:t>
      </w:r>
      <w:r>
        <w:t>должно</w:t>
      </w:r>
      <w:r w:rsidRPr="00334637">
        <w:t xml:space="preserve"> обеспечивать следующие технические возможности: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Программного апгрейда оборудования до </w:t>
      </w:r>
      <w:r>
        <w:rPr>
          <w:lang w:val="en-US"/>
        </w:rPr>
        <w:t>DVB</w:t>
      </w:r>
      <w:r w:rsidRPr="00255F1C">
        <w:t>-</w:t>
      </w:r>
      <w:r>
        <w:rPr>
          <w:lang w:val="en-US"/>
        </w:rPr>
        <w:t>C</w:t>
      </w:r>
      <w:r w:rsidRPr="00255F1C">
        <w:t xml:space="preserve"> </w:t>
      </w:r>
      <w:r>
        <w:rPr>
          <w:lang w:val="en-US"/>
        </w:rPr>
        <w:t>QAM</w:t>
      </w:r>
      <w:r>
        <w:t>-модулятора по отдельному требованию заказчика;</w:t>
      </w:r>
    </w:p>
    <w:p w:rsidR="00022C6B" w:rsidRPr="00255F1C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Замены конфигурационных файлов по расписанию.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2" w:name="_Toc473620135"/>
      <w:r w:rsidRPr="00636346">
        <w:t>ТРЕБОВАНИЯ К СОСТАВУ ОБОРУДОВАНИЯ</w:t>
      </w:r>
      <w:bookmarkEnd w:id="2"/>
    </w:p>
    <w:p w:rsidR="00022C6B" w:rsidRDefault="00022C6B" w:rsidP="00022C6B">
      <w:pPr>
        <w:jc w:val="both"/>
      </w:pPr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</w:p>
    <w:p w:rsidR="00022C6B" w:rsidRPr="00C3749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</w:t>
      </w:r>
      <w:r w:rsidRPr="00C3749B">
        <w:t>Заводская упаковка</w:t>
      </w:r>
      <w:r>
        <w:t>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Модулятор.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Кабель питания 220 В, 50 Гц.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Руководство по эксплуатации.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Компакт-диск с программным обеспечением и руководством по эксплуатации в электронном виде.</w:t>
      </w:r>
    </w:p>
    <w:p w:rsidR="00022C6B" w:rsidRPr="00636346" w:rsidRDefault="00022C6B" w:rsidP="00022C6B">
      <w:pPr>
        <w:pStyle w:val="a3"/>
        <w:numPr>
          <w:ilvl w:val="2"/>
          <w:numId w:val="2"/>
        </w:numPr>
        <w:spacing w:after="160" w:line="259" w:lineRule="auto"/>
        <w:jc w:val="both"/>
      </w:pPr>
      <w:r>
        <w:t xml:space="preserve"> Технический паспорт.</w:t>
      </w:r>
    </w:p>
    <w:p w:rsidR="00022C6B" w:rsidRPr="0017251D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  <w:rPr>
          <w:lang w:val="ru-RU"/>
        </w:rPr>
      </w:pPr>
      <w:bookmarkStart w:id="3" w:name="_Toc473620136"/>
      <w:r w:rsidRPr="0017251D">
        <w:rPr>
          <w:lang w:val="ru-RU"/>
        </w:rPr>
        <w:t>ТРЕБОВАНИЯ К АППАРАТНОМУ И ПРОГРАММНОМУ ОБЕСПЕЧЕНИЮ</w:t>
      </w:r>
      <w:bookmarkEnd w:id="3"/>
    </w:p>
    <w:p w:rsidR="00022C6B" w:rsidRPr="001A18F0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CB27FA">
        <w:t xml:space="preserve">Все оборудование </w:t>
      </w:r>
      <w:r>
        <w:t xml:space="preserve">должно </w:t>
      </w:r>
      <w:r w:rsidRPr="00CB27FA">
        <w:t xml:space="preserve">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CB27FA">
        <w:t>Минкомсвязи</w:t>
      </w:r>
      <w:proofErr w:type="spellEnd"/>
      <w:r w:rsidRPr="00CB27FA">
        <w:t xml:space="preserve"> </w:t>
      </w:r>
      <w:r>
        <w:t>РФ</w:t>
      </w:r>
      <w:r w:rsidRPr="00CB27FA">
        <w:t xml:space="preserve">, сертификат </w:t>
      </w:r>
      <w:r w:rsidRPr="005277FD">
        <w:t>происхождения, сертификат качества (</w:t>
      </w:r>
      <w:r w:rsidR="00D36B21">
        <w:t xml:space="preserve">системы </w:t>
      </w:r>
      <w:r w:rsidR="00D36B21">
        <w:lastRenderedPageBreak/>
        <w:t xml:space="preserve">сертификации </w:t>
      </w:r>
      <w:r w:rsidRPr="005277FD">
        <w:t>ГОСТ, ГОСТ-Р), сертификат безопасности (</w:t>
      </w:r>
      <w:r w:rsidR="00D36B21">
        <w:t>систем</w:t>
      </w:r>
      <w:r w:rsidR="00D36B21">
        <w:t>ы</w:t>
      </w:r>
      <w:r w:rsidR="00D36B21">
        <w:t xml:space="preserve"> сертификации </w:t>
      </w:r>
      <w:r w:rsidRPr="005277FD">
        <w:t>ГОСТ-Р), гигиенический сертификат (</w:t>
      </w:r>
      <w:r w:rsidR="00D36B21">
        <w:t>систем</w:t>
      </w:r>
      <w:r w:rsidR="00D36B21">
        <w:t>ы</w:t>
      </w:r>
      <w:r w:rsidR="00D36B21">
        <w:t xml:space="preserve"> сертификации </w:t>
      </w:r>
      <w:r w:rsidRPr="005277FD">
        <w:t xml:space="preserve">ГОСТ, ГОСТ-Р), сертификат противопожарной </w:t>
      </w:r>
      <w:r w:rsidRPr="00254227">
        <w:t>безопасности).</w:t>
      </w:r>
    </w:p>
    <w:p w:rsidR="00022C6B" w:rsidRPr="0061069D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255F1C">
        <w:t xml:space="preserve">Аналоговые модуляторы должны быть обеспечены функцией удаленного доступа и управления по сети </w:t>
      </w:r>
      <w:r w:rsidRPr="00255F1C">
        <w:rPr>
          <w:lang w:val="en-US"/>
        </w:rPr>
        <w:t>Ethernet</w:t>
      </w:r>
      <w:r w:rsidRPr="00255F1C">
        <w:t xml:space="preserve"> по протоколам </w:t>
      </w:r>
      <w:r w:rsidRPr="00255F1C">
        <w:rPr>
          <w:lang w:val="en-US"/>
        </w:rPr>
        <w:t>HTTP</w:t>
      </w:r>
      <w:r w:rsidRPr="00255F1C">
        <w:t xml:space="preserve"> (</w:t>
      </w:r>
      <w:r w:rsidRPr="00255F1C">
        <w:rPr>
          <w:lang w:val="en-US"/>
        </w:rPr>
        <w:t>WEB</w:t>
      </w:r>
      <w:r w:rsidRPr="00255F1C">
        <w:t xml:space="preserve">-интерфейс) и </w:t>
      </w:r>
      <w:r w:rsidRPr="00255F1C">
        <w:rPr>
          <w:lang w:val="en-US"/>
        </w:rPr>
        <w:t>SNMP</w:t>
      </w:r>
      <w:r w:rsidRPr="0061069D">
        <w:t xml:space="preserve"> (</w:t>
      </w:r>
      <w:r w:rsidRPr="0061069D">
        <w:rPr>
          <w:lang w:val="en-US"/>
        </w:rPr>
        <w:t>v</w:t>
      </w:r>
      <w:r w:rsidRPr="0061069D">
        <w:t>.1, v.2).</w:t>
      </w:r>
    </w:p>
    <w:p w:rsidR="00022C6B" w:rsidRPr="00C3749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61069D">
        <w:t xml:space="preserve">По протоколу </w:t>
      </w:r>
      <w:r w:rsidRPr="0061069D">
        <w:rPr>
          <w:lang w:val="en-US"/>
        </w:rPr>
        <w:t>SNMP</w:t>
      </w:r>
      <w:r w:rsidRPr="0061069D">
        <w:t xml:space="preserve"> должен обеспечиваться непрерывный мониторинг устройства, а также </w:t>
      </w:r>
      <w:r w:rsidRPr="00C3749B">
        <w:t xml:space="preserve">отправку </w:t>
      </w:r>
      <w:r w:rsidRPr="00C3749B">
        <w:rPr>
          <w:lang w:val="en-US"/>
        </w:rPr>
        <w:t>Trap</w:t>
      </w:r>
      <w:r w:rsidRPr="00C3749B">
        <w:t xml:space="preserve">-сообщений о ключевых событиях оборудования и отклонениях основных параметров устройства от нормы. В частности, должна быть обеспечена возможность отправки </w:t>
      </w:r>
      <w:r w:rsidRPr="00C3749B">
        <w:rPr>
          <w:lang w:val="en-US"/>
        </w:rPr>
        <w:t>trap</w:t>
      </w:r>
      <w:r w:rsidRPr="00C3749B">
        <w:t>-сообщений в случае выхода контролируемого параметра за пределы заданных порогов</w:t>
      </w:r>
      <w:r>
        <w:t>.</w:t>
      </w:r>
    </w:p>
    <w:p w:rsidR="00022C6B" w:rsidRPr="00974E31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rPr>
          <w:lang w:val="en-US"/>
        </w:rPr>
        <w:t>WEB</w:t>
      </w:r>
      <w:r w:rsidRPr="002F3253">
        <w:t>-</w:t>
      </w:r>
      <w:r>
        <w:t>интерфейс оборудования должен поддерживать использование любого современного браузера.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CB27FA">
        <w:t xml:space="preserve">На оборудовании одного типа при условии одновременной закупки </w:t>
      </w:r>
      <w:r>
        <w:t xml:space="preserve">должно </w:t>
      </w:r>
      <w:r w:rsidRPr="00CB27FA">
        <w:t>быть установлено программное обеспечение одной версии.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4" w:name="_Toc473620137"/>
      <w:r w:rsidRPr="00636346">
        <w:t>ТРЕБОВАНИЯ К ЭЛЕКТРОПИТАНИЮ</w:t>
      </w:r>
      <w:bookmarkEnd w:id="4"/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37118D">
        <w:t>Оборудование должно иметь в своем составе 2 блока питания с горячим резервированием</w:t>
      </w:r>
      <w:r>
        <w:t>.</w:t>
      </w:r>
    </w:p>
    <w:p w:rsidR="00022C6B" w:rsidRPr="00C3749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C3749B">
        <w:t xml:space="preserve">Электропитание оборудования должно осуществляться от </w:t>
      </w:r>
      <w:r>
        <w:t xml:space="preserve">сети </w:t>
      </w:r>
      <w:r w:rsidRPr="00C3749B">
        <w:t>переменно</w:t>
      </w:r>
      <w:r>
        <w:t>го тока частотой 50Гц</w:t>
      </w:r>
      <w:r w:rsidRPr="00C3749B">
        <w:t>.</w:t>
      </w:r>
    </w:p>
    <w:p w:rsidR="00022C6B" w:rsidRPr="00C3749B" w:rsidRDefault="00022C6B" w:rsidP="00022C6B">
      <w:pPr>
        <w:pStyle w:val="a3"/>
        <w:numPr>
          <w:ilvl w:val="1"/>
          <w:numId w:val="2"/>
        </w:numPr>
        <w:jc w:val="both"/>
      </w:pPr>
      <w:r w:rsidRPr="00C3749B">
        <w:t xml:space="preserve">Для </w:t>
      </w:r>
      <w:r>
        <w:t>основного и резервного блоков питания</w:t>
      </w:r>
      <w:r w:rsidRPr="00C3749B">
        <w:t xml:space="preserve"> оборудование должно поддерживать входное значение напряжения </w:t>
      </w:r>
      <w:r>
        <w:t>150…</w:t>
      </w:r>
      <w:r w:rsidRPr="00C3749B">
        <w:t>2</w:t>
      </w:r>
      <w:r>
        <w:t>4</w:t>
      </w:r>
      <w:r w:rsidRPr="00C3749B">
        <w:t>0</w:t>
      </w:r>
      <w:r>
        <w:t xml:space="preserve"> В</w:t>
      </w:r>
      <w:r w:rsidRPr="00C3749B">
        <w:t xml:space="preserve">. Провод питания оборудования должен быть оснащён вилкой для </w:t>
      </w:r>
      <w:proofErr w:type="spellStart"/>
      <w:r w:rsidRPr="00C3749B">
        <w:t>электророзетки</w:t>
      </w:r>
      <w:proofErr w:type="spellEnd"/>
      <w:r w:rsidRPr="00C3749B">
        <w:t xml:space="preserve"> с заземляющим контактом типа «Евро».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C3749B">
        <w:t xml:space="preserve">Изменение значений </w:t>
      </w:r>
      <w:bookmarkStart w:id="5" w:name="_GoBack"/>
      <w:bookmarkEnd w:id="5"/>
      <w:r w:rsidRPr="00C3749B">
        <w:t xml:space="preserve">входного напряжения за пределами </w:t>
      </w:r>
      <w:r>
        <w:t>выше</w:t>
      </w:r>
      <w:r w:rsidRPr="00C3749B">
        <w:t>указанн</w:t>
      </w:r>
      <w:r>
        <w:t>ого</w:t>
      </w:r>
      <w:r w:rsidRPr="00C3749B">
        <w:t xml:space="preserve"> </w:t>
      </w:r>
      <w:r>
        <w:t>д</w:t>
      </w:r>
      <w:r w:rsidRPr="00C3749B">
        <w:t>иапазон</w:t>
      </w:r>
      <w:r>
        <w:t>а</w:t>
      </w:r>
      <w:r w:rsidRPr="00C3749B">
        <w:t xml:space="preserve"> может приводить к отключению оборудования, но не должно приводить к выходу его из строя. При возврате напряжения в пределы допустимых значений, оно должно восстанавливать свою работоспособность.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6" w:name="_Toc473620138"/>
      <w:r w:rsidRPr="00636346">
        <w:t xml:space="preserve">ТРЕБОВАНИЯ К </w:t>
      </w:r>
      <w:r>
        <w:t>АВАРИЙНОЙ СИГНАЛИЗАЦИИ</w:t>
      </w:r>
      <w:bookmarkEnd w:id="6"/>
    </w:p>
    <w:p w:rsidR="00022C6B" w:rsidRPr="00C3749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 xml:space="preserve">Аналоговые модуляторы должны иметь устройства технического обслуживания, измерения, контроля и индикации состояния системы во время работы и при поиске неисправностей, а также обеспечивать </w:t>
      </w:r>
      <w:r w:rsidRPr="00C3749B">
        <w:t xml:space="preserve">взаимодействие с сетевой системой управления по протоколу </w:t>
      </w:r>
      <w:r w:rsidRPr="00C3749B">
        <w:rPr>
          <w:lang w:val="en-US"/>
        </w:rPr>
        <w:t>SNMP</w:t>
      </w:r>
      <w:r w:rsidRPr="00C3749B">
        <w:t xml:space="preserve"> и местным терминалом посредством </w:t>
      </w:r>
      <w:r w:rsidRPr="00C3749B">
        <w:rPr>
          <w:lang w:val="en-US"/>
        </w:rPr>
        <w:t>Web</w:t>
      </w:r>
      <w:r w:rsidRPr="00C3749B">
        <w:t>-интерфейса.</w:t>
      </w:r>
    </w:p>
    <w:p w:rsidR="00022C6B" w:rsidRPr="00C3749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C3749B">
        <w:t xml:space="preserve">При любой неисправности оборудования, приводящей к </w:t>
      </w:r>
      <w:r>
        <w:t>пропаданию выходного</w:t>
      </w:r>
      <w:r w:rsidRPr="00C3749B">
        <w:t xml:space="preserve"> сигнала, должна отображаться соответствующая аварийная сигнализация на фронтальном дисплее </w:t>
      </w:r>
      <w:r>
        <w:t>устройства</w:t>
      </w:r>
      <w:r w:rsidRPr="00C3749B">
        <w:t>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7" w:name="_Toc473620139"/>
      <w:r w:rsidRPr="00636346">
        <w:t>ТРЕБОВАНИЯ К</w:t>
      </w:r>
      <w:r>
        <w:t xml:space="preserve"> КОНСТРУКЦИИ ОБОРУДОВАНИЯ</w:t>
      </w:r>
      <w:bookmarkEnd w:id="7"/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Оборудование должно размещаться в телекоммуникационных стойках 19</w:t>
      </w:r>
      <w:r w:rsidRPr="005E2391">
        <w:t>”</w:t>
      </w:r>
      <w:r>
        <w:t>;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Оборудование должно занимать не более 1</w:t>
      </w:r>
      <w:r>
        <w:rPr>
          <w:lang w:val="en-US"/>
        </w:rPr>
        <w:t>U</w:t>
      </w:r>
      <w:r>
        <w:t xml:space="preserve"> в телекоммуникационной стойке;</w:t>
      </w:r>
    </w:p>
    <w:p w:rsidR="00022C6B" w:rsidRPr="00081777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 w:rsidRPr="00081777">
        <w:t>Конструкция оборудования должна отвечать требованиям следующих стандартов:</w:t>
      </w:r>
    </w:p>
    <w:p w:rsidR="00022C6B" w:rsidRPr="00994907" w:rsidRDefault="00022C6B" w:rsidP="00022C6B">
      <w:pPr>
        <w:pStyle w:val="a3"/>
        <w:numPr>
          <w:ilvl w:val="2"/>
          <w:numId w:val="2"/>
        </w:numPr>
        <w:tabs>
          <w:tab w:val="left" w:pos="2835"/>
        </w:tabs>
        <w:spacing w:after="160" w:line="259" w:lineRule="auto"/>
        <w:jc w:val="both"/>
      </w:pPr>
      <w:r>
        <w:t xml:space="preserve"> </w:t>
      </w:r>
      <w:r w:rsidRPr="00994907">
        <w:t>Вибрация</w:t>
      </w:r>
      <w:r w:rsidRPr="00994907">
        <w:tab/>
        <w:t>IEC 68-2-6</w:t>
      </w:r>
    </w:p>
    <w:p w:rsidR="00022C6B" w:rsidRPr="00994907" w:rsidRDefault="00022C6B" w:rsidP="00022C6B">
      <w:pPr>
        <w:pStyle w:val="a3"/>
        <w:numPr>
          <w:ilvl w:val="2"/>
          <w:numId w:val="2"/>
        </w:numPr>
        <w:tabs>
          <w:tab w:val="left" w:pos="2835"/>
        </w:tabs>
        <w:spacing w:after="160" w:line="259" w:lineRule="auto"/>
        <w:jc w:val="both"/>
      </w:pPr>
      <w:r>
        <w:t xml:space="preserve"> </w:t>
      </w:r>
      <w:r w:rsidRPr="00994907">
        <w:t>Удары</w:t>
      </w:r>
      <w:r w:rsidRPr="00994907">
        <w:tab/>
        <w:t>IEC 68-2-27, IEC 68-2-29, IEC 68-2-31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8" w:name="_Toc473620140"/>
      <w:r>
        <w:t>ТРЕБОВАНИЯ К БЕЗОПАСНОСТИ</w:t>
      </w:r>
      <w:bookmarkEnd w:id="8"/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полей, оптического излучения и </w:t>
      </w:r>
      <w:r>
        <w:lastRenderedPageBreak/>
        <w:t>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Конструкция аппаратуры должна исключать возможность попадания электрического напряжения на металлические детали корпусов, ручек управления.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0,1Ом.</w:t>
      </w:r>
    </w:p>
    <w:p w:rsidR="00022C6B" w:rsidRDefault="00022C6B" w:rsidP="00022C6B">
      <w:pPr>
        <w:pStyle w:val="a3"/>
        <w:numPr>
          <w:ilvl w:val="1"/>
          <w:numId w:val="2"/>
        </w:numPr>
        <w:spacing w:after="160" w:line="259" w:lineRule="auto"/>
        <w:jc w:val="both"/>
      </w:pPr>
      <w: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022C6B" w:rsidRPr="000E1366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9" w:name="_Toc473620141"/>
      <w:r w:rsidRPr="00636346">
        <w:t xml:space="preserve">ТРЕБОВАНИЯ К НАДЕЖНОСТИ И </w:t>
      </w:r>
      <w:r w:rsidRPr="000E1366">
        <w:t>РЕЗЕРВИРОВАНИЮ</w:t>
      </w:r>
      <w:bookmarkEnd w:id="9"/>
    </w:p>
    <w:p w:rsidR="00022C6B" w:rsidRPr="000E1366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0E1366">
        <w:t>Поставщик должен представить данные о среднем времени наработки на отказ (MTBF) каждого типа оборудования.</w:t>
      </w:r>
    </w:p>
    <w:p w:rsidR="00022C6B" w:rsidRPr="000E1366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0E1366">
        <w:t>Поставщик должен представить данные о среднем времени восстановления оборудования после отказа.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0E1366">
        <w:t>Срок службы оборудования (включая ПО) при круглосуточном режиме работы должен быть не менее 10 лет.</w:t>
      </w:r>
    </w:p>
    <w:p w:rsidR="00022C6B" w:rsidRPr="00893EAF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893EAF">
        <w:t xml:space="preserve">Оборудование должно иметь не менее 2 </w:t>
      </w:r>
      <w:r w:rsidRPr="00893EAF">
        <w:rPr>
          <w:lang w:val="en-US"/>
        </w:rPr>
        <w:t>GBE</w:t>
      </w:r>
      <w:r w:rsidRPr="00893EAF">
        <w:t xml:space="preserve"> интерфейсов для полезного (</w:t>
      </w:r>
      <w:r w:rsidRPr="00893EAF">
        <w:rPr>
          <w:lang w:val="en-US"/>
        </w:rPr>
        <w:t>multicast</w:t>
      </w:r>
      <w:r w:rsidRPr="00893EAF">
        <w:t xml:space="preserve">) трафика </w:t>
      </w:r>
      <w:r w:rsidRPr="00893EAF">
        <w:rPr>
          <w:lang w:val="en-US"/>
        </w:rPr>
        <w:t>c</w:t>
      </w:r>
      <w:r w:rsidRPr="00893EAF">
        <w:t xml:space="preserve"> горячим автоматическим резервированием по входу.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0" w:name="_Toc473620142"/>
      <w:r w:rsidRPr="00636346">
        <w:t>ТРЕБОВАНИЯ К УСЛОВИЯМ ЭКСПЛУАТАЦИИ</w:t>
      </w:r>
      <w:bookmarkEnd w:id="10"/>
    </w:p>
    <w:p w:rsidR="00022C6B" w:rsidRPr="00DC46F8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DC46F8">
        <w:t>Оборудование должно обеспечивать непрерывный круглосуточный режим работы.</w:t>
      </w:r>
    </w:p>
    <w:p w:rsidR="00022C6B" w:rsidRPr="00DC46F8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DC46F8">
        <w:t>Диапазон рабочих температур окружающего воздуха, при котором должно гарантироваться соблюдение функциональных и других параметров оборудования: +5 ˚С до +40 ˚С.</w:t>
      </w:r>
    </w:p>
    <w:p w:rsidR="00022C6B" w:rsidRPr="00DC46F8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DC46F8">
        <w:t>Нижнее допустимое атмосферное давление: 60 кПа (450 мм рт. ст.).</w:t>
      </w:r>
    </w:p>
    <w:p w:rsidR="00022C6B" w:rsidRPr="00DC46F8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DC46F8">
        <w:t>Относительная влажность воздуха: не более 80 % при +25 ˚С.</w:t>
      </w:r>
    </w:p>
    <w:p w:rsidR="00022C6B" w:rsidRPr="0017251D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both"/>
        <w:rPr>
          <w:lang w:val="ru-RU"/>
        </w:rPr>
      </w:pPr>
      <w:bookmarkStart w:id="11" w:name="_Toc473620143"/>
      <w:r w:rsidRPr="0017251D">
        <w:rPr>
          <w:lang w:val="ru-RU"/>
        </w:rPr>
        <w:t>ТРЕБОВАНИЯ К УРОВНЮ ЗВУКА, СОЗДАВАЕМОМУ АППАРАТУРОЙ</w:t>
      </w:r>
      <w:bookmarkEnd w:id="11"/>
    </w:p>
    <w:p w:rsidR="00022C6B" w:rsidRPr="00636346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 w:rsidRPr="004608FB">
        <w:t xml:space="preserve">Уровень звука и эквивалентный уровень звука, создаваемые аппаратурой на рабочем месте в соответствии с ГОСТ 12.0.003-83 не должны превышать 65 </w:t>
      </w:r>
      <w:proofErr w:type="spellStart"/>
      <w:r w:rsidRPr="004608FB">
        <w:t>дБА</w:t>
      </w:r>
      <w:proofErr w:type="spellEnd"/>
      <w:r w:rsidRPr="004608FB">
        <w:t>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2" w:name="_Toc473620144"/>
      <w:r w:rsidRPr="00636346">
        <w:t>ТРЕБОВАНИЯ К СОСТАВУ ПОСТАВЛЯЕМОЙ ДОКУМЕНТАЦИИ</w:t>
      </w:r>
      <w:bookmarkEnd w:id="12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 xml:space="preserve"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обслуживания. </w:t>
      </w:r>
      <w:r w:rsidRPr="0017251D">
        <w:t>Эксплуатационные документы должны соответствовать ГОСТ 2.601-95 «Эксплуатационные документы») оборудования</w:t>
      </w:r>
      <w:r w:rsidRPr="005277FD">
        <w:t>,</w:t>
      </w:r>
      <w:r>
        <w:t xml:space="preserve"> включая входящие в </w:t>
      </w:r>
      <w:r w:rsidRPr="00D33032">
        <w:t>состав закупаемые (</w:t>
      </w:r>
      <w:r>
        <w:t>у третьих сторон) аппаратно-программные средства.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lastRenderedPageBreak/>
        <w:t>Документация должна включать, в том числе: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Техническое описание.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Инструкция по эксплуатации.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Руководство по монтажу и вводу в эксплуатацию.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Паспорт, на каждый вид оборудования.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Спецификации поставляемого оборудования, ПО и услуг</w:t>
      </w:r>
      <w:r w:rsidRPr="004608FB">
        <w:t xml:space="preserve"> </w:t>
      </w:r>
      <w:r>
        <w:t>без указания стоимости.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Копии сертификатов соответствия требованиям </w:t>
      </w:r>
      <w:proofErr w:type="spellStart"/>
      <w:r>
        <w:t>Минкомсвязи</w:t>
      </w:r>
      <w:proofErr w:type="spellEnd"/>
      <w:r>
        <w:t xml:space="preserve"> РФ, сертификатов происхождения товаров и соответствия качеству, либо информация о сроках получения сертификатов.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 xml:space="preserve">Места расположения сервисных центров в России. 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 xml:space="preserve">Документация на русском языке должна поставляться в электронном виде (на CD-ROM в формате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или MS OFFICE). Использование другого программного обеспечения должно быть согласовано с Заказчиком дополнительно.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3" w:name="_Toc473620145"/>
      <w:r w:rsidRPr="00636346">
        <w:t>ТРЕБОВАНИЯ К ГАРАНТИЙНЫМ ОБЯЗАТЕЛЬСТВАМ</w:t>
      </w:r>
      <w:bookmarkEnd w:id="13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>Гарантийный срок должен быть не менее 24 месяцев с даты поставки оборудования и ПО.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134"/>
        </w:tabs>
        <w:spacing w:after="160" w:line="259" w:lineRule="auto"/>
        <w:jc w:val="both"/>
      </w:pPr>
      <w:r>
        <w:t>Требования к срокам ремонта оборудования и качеству ремонта.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Оборудование должно быть возвращено Заказчику из ремонта в срок не позднее</w:t>
      </w:r>
      <w:r w:rsidRPr="00DC46F8">
        <w:t xml:space="preserve"> </w:t>
      </w:r>
      <w:r>
        <w:t>6</w:t>
      </w:r>
      <w:r w:rsidRPr="00DC46F8">
        <w:t xml:space="preserve"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Сервисного Центра Производителя с подтверждением устранения повреждения. Это необходимо в целях предупреждения ситуации повторной отправки в ремонт.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Если в результате проверки в лабораториях Сервисного Центра поставщика оборудование, возвращенное из ремонта, диагностировано как аварийное,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–</w:t>
      </w:r>
      <w:r w:rsidRPr="00DC46F8">
        <w:t xml:space="preserve"> </w:t>
      </w:r>
      <w:r>
        <w:t>6</w:t>
      </w:r>
      <w:r w:rsidRPr="00DC46F8">
        <w:t xml:space="preserve">0 </w:t>
      </w:r>
      <w:r>
        <w:t>календарных дней с момента подтверждения Производителем факта приемки оборудования в ремонт.</w:t>
      </w:r>
    </w:p>
    <w:p w:rsidR="00022C6B" w:rsidRDefault="00022C6B" w:rsidP="00022C6B">
      <w:pPr>
        <w:pStyle w:val="a3"/>
        <w:numPr>
          <w:ilvl w:val="2"/>
          <w:numId w:val="2"/>
        </w:numPr>
        <w:spacing w:after="160" w:line="259" w:lineRule="auto"/>
        <w:ind w:left="1214"/>
        <w:jc w:val="both"/>
      </w:pPr>
      <w:r>
        <w:t>Поставщик должен предоставить список контактных лиц и данные для связи со службой поддержки:</w:t>
      </w:r>
    </w:p>
    <w:p w:rsidR="00022C6B" w:rsidRDefault="00022C6B" w:rsidP="00022C6B">
      <w:pPr>
        <w:pStyle w:val="a3"/>
        <w:numPr>
          <w:ilvl w:val="5"/>
          <w:numId w:val="3"/>
        </w:numPr>
        <w:spacing w:after="160" w:line="259" w:lineRule="auto"/>
        <w:jc w:val="both"/>
      </w:pPr>
      <w:r>
        <w:t>телефон,</w:t>
      </w:r>
    </w:p>
    <w:p w:rsidR="00022C6B" w:rsidRDefault="00022C6B" w:rsidP="00022C6B">
      <w:pPr>
        <w:pStyle w:val="a3"/>
        <w:numPr>
          <w:ilvl w:val="5"/>
          <w:numId w:val="3"/>
        </w:numPr>
        <w:spacing w:after="160" w:line="259" w:lineRule="auto"/>
        <w:jc w:val="both"/>
      </w:pPr>
      <w:r>
        <w:t>факс,</w:t>
      </w:r>
    </w:p>
    <w:p w:rsidR="00022C6B" w:rsidRDefault="00022C6B" w:rsidP="00022C6B">
      <w:pPr>
        <w:pStyle w:val="a3"/>
        <w:numPr>
          <w:ilvl w:val="5"/>
          <w:numId w:val="3"/>
        </w:numPr>
        <w:spacing w:after="160" w:line="259" w:lineRule="auto"/>
        <w:jc w:val="both"/>
      </w:pPr>
      <w:r>
        <w:t>электронная почта,</w:t>
      </w:r>
    </w:p>
    <w:p w:rsidR="00022C6B" w:rsidRDefault="00022C6B" w:rsidP="00022C6B">
      <w:pPr>
        <w:pStyle w:val="a3"/>
        <w:numPr>
          <w:ilvl w:val="5"/>
          <w:numId w:val="3"/>
        </w:numPr>
        <w:spacing w:after="160" w:line="259" w:lineRule="auto"/>
        <w:jc w:val="both"/>
      </w:pPr>
      <w:r>
        <w:t>адрес доставки неисправного оборудования.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4" w:name="_Toc473620146"/>
      <w:r w:rsidRPr="00636346">
        <w:lastRenderedPageBreak/>
        <w:t>ТРЕБОВАНИЯ К ЗИП</w:t>
      </w:r>
      <w:bookmarkEnd w:id="14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line="259" w:lineRule="auto"/>
        <w:jc w:val="both"/>
      </w:pPr>
      <w:r w:rsidRPr="00B20700"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022C6B" w:rsidRPr="00C43B11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line="259" w:lineRule="auto"/>
        <w:jc w:val="both"/>
      </w:pPr>
      <w:r>
        <w:t>Срок завершения продаж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</w:t>
      </w:r>
      <w:proofErr w:type="spellEnd"/>
      <w:r>
        <w:t>) приобретаемого оборудования должен быть не менее 3 лет с момента приобретения.</w:t>
      </w:r>
    </w:p>
    <w:p w:rsidR="00022C6B" w:rsidRPr="00B20700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line="259" w:lineRule="auto"/>
        <w:jc w:val="both"/>
      </w:pPr>
      <w:r>
        <w:t>Срок завершения производства и технической поддержки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>) приобретенного оборудования должен быть не менее 5 лет.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both"/>
      </w:pPr>
      <w:bookmarkStart w:id="15" w:name="_Toc473620147"/>
      <w:r w:rsidRPr="00636346">
        <w:t>ТРЕБОВАНИЯ К РЕМОНТУ</w:t>
      </w:r>
      <w:bookmarkEnd w:id="15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  <w:jc w:val="both"/>
      </w:pPr>
      <w:r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  <w:jc w:val="both"/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022C6B" w:rsidRPr="00636346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  <w:jc w:val="both"/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работы.</w:t>
      </w:r>
    </w:p>
    <w:p w:rsidR="00022C6B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</w:pPr>
      <w:bookmarkStart w:id="16" w:name="_Toc473620148"/>
      <w:r w:rsidRPr="00636346">
        <w:t>НЕОБХОДИМЫЕ УСЛУГИ ПОСТАВЩИКА</w:t>
      </w:r>
      <w:bookmarkEnd w:id="16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  <w:jc w:val="both"/>
      </w:pPr>
      <w:r>
        <w:t xml:space="preserve">Доставка оборудования (включая страхование, получение разрешения на ввоз, транспортировку, </w:t>
      </w:r>
      <w:proofErr w:type="spellStart"/>
      <w:r>
        <w:t>растаможивание</w:t>
      </w:r>
      <w:proofErr w:type="spellEnd"/>
      <w:r>
        <w:t>).</w:t>
      </w:r>
    </w:p>
    <w:p w:rsidR="00022C6B" w:rsidRPr="00636346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  <w:jc w:val="both"/>
      </w:pPr>
      <w:r>
        <w:t xml:space="preserve">Поставщик несет ответственность за качественные показатели оборудования. Поставщик отвечает за хранение и доставку оборудования. </w:t>
      </w:r>
      <w:r w:rsidRPr="00C3749B">
        <w:t>Если во время входного контроля будет выявлена неисправность или повреждение какая-либо части оборудования, Поставщик несет все расходы и издержки по замене поврежденного оборудования.</w:t>
      </w:r>
    </w:p>
    <w:p w:rsidR="00022C6B" w:rsidRPr="0017251D" w:rsidRDefault="00022C6B" w:rsidP="00022C6B">
      <w:pPr>
        <w:pStyle w:val="1"/>
        <w:keepLines/>
        <w:numPr>
          <w:ilvl w:val="0"/>
          <w:numId w:val="2"/>
        </w:numPr>
        <w:spacing w:after="0" w:line="259" w:lineRule="auto"/>
        <w:jc w:val="left"/>
        <w:rPr>
          <w:lang w:val="ru-RU"/>
        </w:rPr>
      </w:pPr>
      <w:bookmarkStart w:id="17" w:name="_Toc473620149"/>
      <w:r w:rsidRPr="0017251D">
        <w:rPr>
          <w:lang w:val="ru-RU"/>
        </w:rPr>
        <w:t>ТРЕБОВАНИЯ К УСЛОВИЯМ ТРАНСПОРТИРОВКИ И ХРАНЕНИЯ</w:t>
      </w:r>
      <w:bookmarkEnd w:id="17"/>
    </w:p>
    <w:p w:rsidR="00022C6B" w:rsidRDefault="00022C6B" w:rsidP="00022C6B">
      <w:pPr>
        <w:pStyle w:val="a3"/>
        <w:numPr>
          <w:ilvl w:val="1"/>
          <w:numId w:val="2"/>
        </w:numPr>
        <w:tabs>
          <w:tab w:val="left" w:pos="1276"/>
        </w:tabs>
        <w:spacing w:after="160" w:line="259" w:lineRule="auto"/>
      </w:pPr>
      <w:r>
        <w:t xml:space="preserve">Упаковка должна соответствовать требованиям ГОСТ </w:t>
      </w:r>
      <w:r w:rsidR="009238C0">
        <w:t>1</w:t>
      </w:r>
      <w:r w:rsidR="002F02C4">
        <w:t>5150</w:t>
      </w:r>
      <w:r w:rsidR="009238C0">
        <w:t>-</w:t>
      </w:r>
      <w:r w:rsidR="002F02C4">
        <w:t xml:space="preserve">69 </w:t>
      </w:r>
      <w:r>
        <w:t>по условиям транспортировки и хранения.</w:t>
      </w:r>
    </w:p>
    <w:p w:rsidR="00022C6B" w:rsidRDefault="00022C6B" w:rsidP="00022C6B">
      <w:pPr>
        <w:jc w:val="center"/>
        <w:rPr>
          <w:rFonts w:eastAsia="MS Mincho"/>
          <w:lang w:eastAsia="ja-JP"/>
        </w:rPr>
      </w:pPr>
    </w:p>
    <w:p w:rsidR="00022C6B" w:rsidRDefault="00022C6B" w:rsidP="00022C6B">
      <w:pPr>
        <w:jc w:val="center"/>
        <w:rPr>
          <w:rFonts w:eastAsia="MS Mincho"/>
          <w:lang w:eastAsia="ja-JP"/>
        </w:rPr>
      </w:pPr>
    </w:p>
    <w:p w:rsidR="00022C6B" w:rsidRDefault="00022C6B" w:rsidP="00022C6B">
      <w:pPr>
        <w:jc w:val="center"/>
        <w:rPr>
          <w:rFonts w:eastAsia="MS Mincho"/>
          <w:lang w:eastAsia="ja-JP"/>
        </w:rPr>
      </w:pPr>
    </w:p>
    <w:tbl>
      <w:tblPr>
        <w:tblW w:w="9889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3"/>
        <w:gridCol w:w="4461"/>
        <w:gridCol w:w="143"/>
        <w:gridCol w:w="4461"/>
        <w:gridCol w:w="681"/>
      </w:tblGrid>
      <w:tr w:rsidR="00022C6B" w:rsidRPr="00470DEF" w:rsidTr="00D35DDF">
        <w:trPr>
          <w:gridBefore w:val="1"/>
          <w:wBefore w:w="142" w:type="dxa"/>
        </w:trPr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hanging="28"/>
              <w:rPr>
                <w:rFonts w:eastAsia="MS Mincho"/>
                <w:lang w:val="en-US" w:eastAsia="ja-JP"/>
              </w:rPr>
            </w:pPr>
            <w:r w:rsidRPr="00470DEF">
              <w:rPr>
                <w:rFonts w:eastAsia="MS Mincho"/>
                <w:lang w:eastAsia="ja-JP"/>
              </w:rPr>
              <w:t>Поставщик</w:t>
            </w:r>
          </w:p>
        </w:tc>
        <w:tc>
          <w:tcPr>
            <w:tcW w:w="4932" w:type="dxa"/>
            <w:gridSpan w:val="2"/>
          </w:tcPr>
          <w:p w:rsidR="00022C6B" w:rsidRPr="00470DEF" w:rsidRDefault="00022C6B" w:rsidP="00D35DDF">
            <w:pPr>
              <w:suppressAutoHyphens/>
              <w:ind w:left="793" w:firstLine="30"/>
              <w:rPr>
                <w:rFonts w:eastAsia="MS Mincho"/>
                <w:lang w:val="en-US" w:eastAsia="ja-JP"/>
              </w:rPr>
            </w:pPr>
            <w:r w:rsidRPr="00470DEF">
              <w:rPr>
                <w:rFonts w:eastAsia="MS Mincho"/>
                <w:lang w:eastAsia="ja-JP"/>
              </w:rPr>
              <w:t>Покупатель</w:t>
            </w:r>
          </w:p>
        </w:tc>
      </w:tr>
      <w:tr w:rsidR="00022C6B" w:rsidRPr="00470DEF" w:rsidTr="00D35DDF">
        <w:trPr>
          <w:gridBefore w:val="1"/>
          <w:wBefore w:w="142" w:type="dxa"/>
        </w:trPr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hanging="28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________________</w:t>
            </w:r>
          </w:p>
        </w:tc>
        <w:tc>
          <w:tcPr>
            <w:tcW w:w="4932" w:type="dxa"/>
            <w:gridSpan w:val="2"/>
          </w:tcPr>
          <w:p w:rsidR="00022C6B" w:rsidRPr="00470DEF" w:rsidRDefault="00022C6B" w:rsidP="00D35DDF">
            <w:pPr>
              <w:suppressAutoHyphens/>
              <w:ind w:left="793" w:firstLine="3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</w:t>
            </w:r>
            <w:r w:rsidRPr="00470DEF">
              <w:rPr>
                <w:rFonts w:eastAsia="MS Mincho"/>
                <w:lang w:eastAsia="ja-JP"/>
              </w:rPr>
              <w:t>АО «</w:t>
            </w:r>
            <w:r>
              <w:rPr>
                <w:rFonts w:eastAsia="MS Mincho"/>
                <w:lang w:eastAsia="ja-JP"/>
              </w:rPr>
              <w:t>Башинформсвязь</w:t>
            </w:r>
            <w:r w:rsidRPr="00470DEF">
              <w:rPr>
                <w:rFonts w:eastAsia="MS Mincho"/>
                <w:lang w:eastAsia="ja-JP"/>
              </w:rPr>
              <w:t>»</w:t>
            </w:r>
          </w:p>
        </w:tc>
      </w:tr>
      <w:tr w:rsidR="00022C6B" w:rsidRPr="00470DEF" w:rsidTr="00D35DDF">
        <w:trPr>
          <w:gridBefore w:val="1"/>
          <w:wBefore w:w="142" w:type="dxa"/>
        </w:trPr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hanging="28"/>
              <w:rPr>
                <w:rFonts w:eastAsia="MS Mincho"/>
                <w:lang w:eastAsia="ja-JP"/>
              </w:rPr>
            </w:pPr>
          </w:p>
        </w:tc>
        <w:tc>
          <w:tcPr>
            <w:tcW w:w="4932" w:type="dxa"/>
            <w:gridSpan w:val="2"/>
          </w:tcPr>
          <w:p w:rsidR="00022C6B" w:rsidRPr="00470DEF" w:rsidRDefault="00022C6B" w:rsidP="00D35DDF">
            <w:pPr>
              <w:suppressAutoHyphens/>
              <w:ind w:left="793" w:firstLine="3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Генеральный директор</w:t>
            </w:r>
          </w:p>
        </w:tc>
      </w:tr>
      <w:tr w:rsidR="00022C6B" w:rsidRPr="00470DEF" w:rsidTr="00D35DDF">
        <w:trPr>
          <w:gridBefore w:val="1"/>
          <w:wBefore w:w="142" w:type="dxa"/>
        </w:trPr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hanging="28"/>
              <w:rPr>
                <w:rFonts w:eastAsia="MS Mincho"/>
                <w:lang w:eastAsia="ja-JP"/>
              </w:rPr>
            </w:pPr>
            <w:permStart w:id="259871802" w:edGrp="everyone" w:colFirst="0" w:colLast="0"/>
            <w:permStart w:id="1564304599" w:edGrp="everyone" w:colFirst="1" w:colLast="1"/>
            <w:r w:rsidRPr="00470DEF">
              <w:rPr>
                <w:rFonts w:eastAsia="MS Mincho"/>
                <w:lang w:eastAsia="ja-JP"/>
              </w:rPr>
              <w:t xml:space="preserve">____________ / </w:t>
            </w:r>
            <w:r>
              <w:rPr>
                <w:rFonts w:eastAsia="MS Mincho"/>
                <w:lang w:eastAsia="ja-JP"/>
              </w:rPr>
              <w:t>______________</w:t>
            </w:r>
          </w:p>
        </w:tc>
        <w:tc>
          <w:tcPr>
            <w:tcW w:w="4932" w:type="dxa"/>
            <w:gridSpan w:val="2"/>
          </w:tcPr>
          <w:p w:rsidR="00022C6B" w:rsidRPr="00470DEF" w:rsidRDefault="00022C6B" w:rsidP="00D35DDF">
            <w:pPr>
              <w:suppressAutoHyphens/>
              <w:ind w:left="793" w:firstLine="30"/>
              <w:rPr>
                <w:rFonts w:eastAsia="MS Mincho"/>
                <w:lang w:eastAsia="ja-JP"/>
              </w:rPr>
            </w:pPr>
            <w:r w:rsidRPr="00470DEF">
              <w:rPr>
                <w:rFonts w:eastAsia="MS Mincho"/>
                <w:lang w:eastAsia="ja-JP"/>
              </w:rPr>
              <w:t xml:space="preserve">_____________ / </w:t>
            </w:r>
            <w:r>
              <w:rPr>
                <w:rFonts w:eastAsia="MS Mincho"/>
                <w:lang w:eastAsia="ja-JP"/>
              </w:rPr>
              <w:t xml:space="preserve">М. Г. </w:t>
            </w:r>
            <w:proofErr w:type="spellStart"/>
            <w:r>
              <w:rPr>
                <w:rFonts w:eastAsia="MS Mincho"/>
                <w:lang w:eastAsia="ja-JP"/>
              </w:rPr>
              <w:t>Долгоаршинных</w:t>
            </w:r>
            <w:proofErr w:type="spellEnd"/>
          </w:p>
        </w:tc>
      </w:tr>
      <w:permEnd w:id="259871802"/>
      <w:permEnd w:id="1564304599"/>
      <w:tr w:rsidR="00022C6B" w:rsidRPr="00470DEF" w:rsidTr="00D35DDF">
        <w:trPr>
          <w:gridAfter w:val="1"/>
          <w:wAfter w:w="675" w:type="dxa"/>
        </w:trPr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left="851" w:hanging="28"/>
              <w:rPr>
                <w:rFonts w:eastAsia="MS Mincho"/>
                <w:lang w:eastAsia="ja-JP"/>
              </w:rPr>
            </w:pPr>
            <w:proofErr w:type="spellStart"/>
            <w:r w:rsidRPr="00470DEF">
              <w:rPr>
                <w:rFonts w:eastAsia="MS Mincho"/>
                <w:lang w:eastAsia="ja-JP"/>
              </w:rPr>
              <w:t>м.п</w:t>
            </w:r>
            <w:proofErr w:type="spellEnd"/>
            <w:r w:rsidRPr="00470DEF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4566" w:type="dxa"/>
            <w:gridSpan w:val="2"/>
          </w:tcPr>
          <w:p w:rsidR="00022C6B" w:rsidRPr="00470DEF" w:rsidRDefault="00022C6B" w:rsidP="00D35DDF">
            <w:pPr>
              <w:suppressAutoHyphens/>
              <w:ind w:left="851" w:hanging="28"/>
              <w:rPr>
                <w:rFonts w:eastAsia="MS Mincho"/>
                <w:lang w:eastAsia="ja-JP"/>
              </w:rPr>
            </w:pPr>
            <w:proofErr w:type="spellStart"/>
            <w:r w:rsidRPr="00470DEF">
              <w:rPr>
                <w:rFonts w:eastAsia="MS Mincho"/>
                <w:lang w:eastAsia="ja-JP"/>
              </w:rPr>
              <w:t>м.п</w:t>
            </w:r>
            <w:proofErr w:type="spellEnd"/>
            <w:r w:rsidRPr="00470DEF">
              <w:rPr>
                <w:rFonts w:eastAsia="MS Mincho"/>
                <w:lang w:eastAsia="ja-JP"/>
              </w:rPr>
              <w:t>.</w:t>
            </w:r>
          </w:p>
        </w:tc>
      </w:tr>
    </w:tbl>
    <w:p w:rsidR="00F74516" w:rsidRDefault="00F74516"/>
    <w:sectPr w:rsidR="00F7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A3230C6"/>
    <w:lvl w:ilvl="0">
      <w:start w:val="1"/>
      <w:numFmt w:val="decimal"/>
      <w:pStyle w:val="1"/>
      <w:lvlText w:val="%1."/>
      <w:lvlJc w:val="left"/>
      <w:pPr>
        <w:tabs>
          <w:tab w:val="num" w:pos="2694"/>
        </w:tabs>
        <w:ind w:left="2694" w:hanging="567"/>
      </w:pPr>
      <w:rPr>
        <w:rFonts w:cs="Times New Roman"/>
      </w:rPr>
    </w:lvl>
    <w:lvl w:ilvl="1">
      <w:start w:val="1"/>
      <w:numFmt w:val="decimal"/>
      <w:pStyle w:val="2"/>
      <w:lvlText w:val="%2."/>
      <w:lvlJc w:val="left"/>
      <w:pPr>
        <w:tabs>
          <w:tab w:val="num" w:pos="709"/>
        </w:tabs>
        <w:ind w:left="709" w:hanging="708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1418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691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3399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107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4815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523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231" w:hanging="708"/>
      </w:pPr>
      <w:rPr>
        <w:rFonts w:cs="Times New Roman"/>
      </w:rPr>
    </w:lvl>
  </w:abstractNum>
  <w:abstractNum w:abstractNumId="1" w15:restartNumberingAfterBreak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72"/>
    <w:rsid w:val="00021246"/>
    <w:rsid w:val="00022C6B"/>
    <w:rsid w:val="00254227"/>
    <w:rsid w:val="002F02C4"/>
    <w:rsid w:val="004B420D"/>
    <w:rsid w:val="00537530"/>
    <w:rsid w:val="009238C0"/>
    <w:rsid w:val="00D36B21"/>
    <w:rsid w:val="00F74516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58E1B-0B9F-4395-AC60-83F12BBB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_1"/>
    <w:basedOn w:val="a"/>
    <w:next w:val="a"/>
    <w:link w:val="10"/>
    <w:qFormat/>
    <w:rsid w:val="00022C6B"/>
    <w:pPr>
      <w:keepNext/>
      <w:numPr>
        <w:numId w:val="1"/>
      </w:numPr>
      <w:spacing w:before="240" w:after="240"/>
      <w:jc w:val="center"/>
      <w:outlineLvl w:val="0"/>
    </w:pPr>
    <w:rPr>
      <w:rFonts w:ascii="Arial" w:hAnsi="Arial"/>
      <w:b/>
      <w:caps/>
      <w:kern w:val="28"/>
      <w:sz w:val="22"/>
      <w:szCs w:val="20"/>
      <w:lang w:val="en-US"/>
    </w:rPr>
  </w:style>
  <w:style w:type="paragraph" w:styleId="2">
    <w:name w:val="heading 2"/>
    <w:aliases w:val="Подраздел,H2,Numbered text 3"/>
    <w:basedOn w:val="a"/>
    <w:link w:val="20"/>
    <w:qFormat/>
    <w:rsid w:val="00022C6B"/>
    <w:pPr>
      <w:numPr>
        <w:ilvl w:val="1"/>
        <w:numId w:val="1"/>
      </w:numPr>
      <w:spacing w:before="60" w:after="60"/>
      <w:jc w:val="both"/>
      <w:outlineLvl w:val="1"/>
    </w:pPr>
    <w:rPr>
      <w:rFonts w:ascii="Arial" w:hAnsi="Arial"/>
      <w:sz w:val="22"/>
      <w:szCs w:val="20"/>
      <w:lang w:val="en-US"/>
    </w:rPr>
  </w:style>
  <w:style w:type="paragraph" w:styleId="3">
    <w:name w:val="heading 3"/>
    <w:aliases w:val="3,Пункт"/>
    <w:basedOn w:val="a"/>
    <w:next w:val="a"/>
    <w:link w:val="30"/>
    <w:qFormat/>
    <w:rsid w:val="00022C6B"/>
    <w:pPr>
      <w:numPr>
        <w:ilvl w:val="2"/>
        <w:numId w:val="1"/>
      </w:numPr>
      <w:spacing w:before="60" w:after="60"/>
      <w:jc w:val="both"/>
      <w:outlineLvl w:val="2"/>
    </w:pPr>
    <w:rPr>
      <w:rFonts w:ascii="Arial" w:hAnsi="Arial"/>
      <w:sz w:val="22"/>
      <w:szCs w:val="20"/>
      <w:lang w:val="en-US"/>
    </w:rPr>
  </w:style>
  <w:style w:type="paragraph" w:styleId="4">
    <w:name w:val="heading 4"/>
    <w:basedOn w:val="a"/>
    <w:next w:val="a"/>
    <w:link w:val="40"/>
    <w:qFormat/>
    <w:rsid w:val="00022C6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">
    <w:name w:val="heading 5"/>
    <w:basedOn w:val="a"/>
    <w:next w:val="a"/>
    <w:link w:val="50"/>
    <w:qFormat/>
    <w:rsid w:val="00022C6B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  <w:szCs w:val="20"/>
      <w:lang w:val="en-US"/>
    </w:rPr>
  </w:style>
  <w:style w:type="paragraph" w:styleId="6">
    <w:name w:val="heading 6"/>
    <w:basedOn w:val="a"/>
    <w:next w:val="a"/>
    <w:link w:val="60"/>
    <w:qFormat/>
    <w:rsid w:val="00022C6B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qFormat/>
    <w:rsid w:val="00022C6B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2"/>
      <w:szCs w:val="20"/>
      <w:lang w:val="en-US"/>
    </w:rPr>
  </w:style>
  <w:style w:type="paragraph" w:styleId="8">
    <w:name w:val="heading 8"/>
    <w:basedOn w:val="a"/>
    <w:next w:val="a"/>
    <w:link w:val="80"/>
    <w:qFormat/>
    <w:rsid w:val="00022C6B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2"/>
      <w:szCs w:val="20"/>
      <w:lang w:val="en-US"/>
    </w:rPr>
  </w:style>
  <w:style w:type="paragraph" w:styleId="9">
    <w:name w:val="heading 9"/>
    <w:basedOn w:val="a"/>
    <w:next w:val="a"/>
    <w:link w:val="90"/>
    <w:qFormat/>
    <w:rsid w:val="00022C6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_1 Знак"/>
    <w:basedOn w:val="a0"/>
    <w:link w:val="1"/>
    <w:rsid w:val="00022C6B"/>
    <w:rPr>
      <w:rFonts w:ascii="Arial" w:eastAsia="Times New Roman" w:hAnsi="Arial" w:cs="Times New Roman"/>
      <w:b/>
      <w:caps/>
      <w:kern w:val="28"/>
      <w:szCs w:val="20"/>
      <w:lang w:val="en-US" w:eastAsia="ru-RU"/>
    </w:rPr>
  </w:style>
  <w:style w:type="character" w:customStyle="1" w:styleId="20">
    <w:name w:val="Заголовок 2 Знак"/>
    <w:aliases w:val="Подраздел Знак,H2 Знак,Numbered text 3 Знак"/>
    <w:basedOn w:val="a0"/>
    <w:link w:val="2"/>
    <w:rsid w:val="00022C6B"/>
    <w:rPr>
      <w:rFonts w:ascii="Arial" w:eastAsia="Times New Roman" w:hAnsi="Arial" w:cs="Times New Roman"/>
      <w:szCs w:val="20"/>
      <w:lang w:val="en-US" w:eastAsia="ru-RU"/>
    </w:rPr>
  </w:style>
  <w:style w:type="character" w:customStyle="1" w:styleId="30">
    <w:name w:val="Заголовок 3 Знак"/>
    <w:aliases w:val="3 Знак,Пункт Знак"/>
    <w:basedOn w:val="a0"/>
    <w:link w:val="3"/>
    <w:rsid w:val="00022C6B"/>
    <w:rPr>
      <w:rFonts w:ascii="Arial" w:eastAsia="Times New Roman" w:hAnsi="Arial" w:cs="Times New Roman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22C6B"/>
    <w:rPr>
      <w:rFonts w:ascii="Arial" w:eastAsia="Times New Roman" w:hAnsi="Arial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22C6B"/>
    <w:rPr>
      <w:rFonts w:ascii="Arial" w:eastAsia="Times New Roman" w:hAnsi="Arial" w:cs="Times New Roman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22C6B"/>
    <w:rPr>
      <w:rFonts w:ascii="Arial" w:eastAsia="Times New Roman" w:hAnsi="Arial" w:cs="Times New Roman"/>
      <w:i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022C6B"/>
    <w:rPr>
      <w:rFonts w:ascii="Arial" w:eastAsia="Times New Roman" w:hAnsi="Arial" w:cs="Times New Roman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22C6B"/>
    <w:rPr>
      <w:rFonts w:ascii="Arial" w:eastAsia="Times New Roman" w:hAnsi="Arial" w:cs="Times New Roman"/>
      <w:i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022C6B"/>
    <w:rPr>
      <w:rFonts w:ascii="Arial" w:eastAsia="Times New Roman" w:hAnsi="Arial" w:cs="Times New Roman"/>
      <w:b/>
      <w:i/>
      <w:sz w:val="1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22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FBB3-376F-4AED-85A4-86DD20B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Аминов Руслан Памирович</dc:creator>
  <cp:keywords/>
  <dc:description/>
  <cp:lastModifiedBy>Николаев Константин Геннадиевич</cp:lastModifiedBy>
  <cp:revision>6</cp:revision>
  <dcterms:created xsi:type="dcterms:W3CDTF">2017-09-06T04:22:00Z</dcterms:created>
  <dcterms:modified xsi:type="dcterms:W3CDTF">2017-09-29T10:29:00Z</dcterms:modified>
</cp:coreProperties>
</file>